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A9AA" w14:textId="77777777" w:rsidR="004F7CDB" w:rsidRPr="004F7CDB" w:rsidRDefault="004F7CDB" w:rsidP="004F7CDB">
      <w:pPr>
        <w:spacing w:before="270" w:after="0"/>
        <w:ind w:left="525" w:right="525"/>
        <w:outlineLvl w:val="1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4F7CD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 2025 года изменен порядок возмещения затрат на предупредительные меры</w:t>
      </w:r>
    </w:p>
    <w:p w14:paraId="2A91E90C" w14:textId="77777777" w:rsidR="004F7CDB" w:rsidRPr="004F7CDB" w:rsidRDefault="004F7CDB" w:rsidP="004F7CDB">
      <w:pPr>
        <w:spacing w:before="420" w:after="0"/>
        <w:ind w:left="525" w:right="525"/>
        <w:outlineLvl w:val="2"/>
        <w:rPr>
          <w:rFonts w:eastAsia="Times New Roman" w:cs="Times New Roman"/>
          <w:color w:val="373737"/>
          <w:szCs w:val="28"/>
          <w:lang w:eastAsia="ru-RU"/>
        </w:rPr>
      </w:pPr>
      <w:r w:rsidRPr="004F7CDB">
        <w:rPr>
          <w:rFonts w:eastAsia="Times New Roman" w:cs="Times New Roman"/>
          <w:color w:val="373737"/>
          <w:szCs w:val="28"/>
          <w:lang w:eastAsia="ru-RU"/>
        </w:rPr>
        <w:t>Документ</w:t>
      </w:r>
    </w:p>
    <w:p w14:paraId="3AA63219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Приказ Минтруда России </w:t>
      </w:r>
      <w:hyperlink r:id="rId5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от 11.07.2024 № 347н</w:t>
        </w:r>
      </w:hyperlink>
    </w:p>
    <w:p w14:paraId="14DCC087" w14:textId="77777777" w:rsidR="004F7CDB" w:rsidRPr="004F7CDB" w:rsidRDefault="004F7CDB" w:rsidP="004F7CDB">
      <w:pPr>
        <w:spacing w:before="420" w:after="0"/>
        <w:ind w:left="525" w:right="525"/>
        <w:outlineLvl w:val="2"/>
        <w:rPr>
          <w:rFonts w:eastAsia="Times New Roman" w:cs="Times New Roman"/>
          <w:color w:val="373737"/>
          <w:szCs w:val="28"/>
          <w:lang w:eastAsia="ru-RU"/>
        </w:rPr>
      </w:pPr>
      <w:r w:rsidRPr="004F7CDB">
        <w:rPr>
          <w:rFonts w:eastAsia="Times New Roman" w:cs="Times New Roman"/>
          <w:color w:val="373737"/>
          <w:szCs w:val="28"/>
          <w:lang w:eastAsia="ru-RU"/>
        </w:rPr>
        <w:t>Комментарий</w:t>
      </w:r>
    </w:p>
    <w:p w14:paraId="73D2AD8B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Работодатели, у которых есть расходы на профилактику производственного травматизма и профзаболеваний (далее – расходы на предупредительные меры), могут в определенной части получить от СФР возмещение своих затрат. С 01.01.2025 </w:t>
      </w:r>
      <w:hyperlink r:id="rId6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Правила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финансового обеспечения предупредительных мер утверждены приказом Минтруда России от 11.07.2024 № 347н (далее – Правила № 347н). До указанной даты порядок возмещения названных затрат регулировался приказом Минтруда России </w:t>
      </w:r>
      <w:hyperlink r:id="rId7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от 14.07.2021 № 467н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(далее – Правила № 467н).</w:t>
      </w:r>
    </w:p>
    <w:p w14:paraId="745897AB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Напомним, что получить возмещение работодатели могут в пределах суммы взносов на травматизм, начисленных за текущий год, за минусом расходов в текущем году на выплату пособий по нетрудоспособности в связи с несчастными случаями на производстве и профзаболеваниями и по оплате отпусков на период лечения (сверх ежегодного отпуска). Величина возмещения затрат согласовывается с СФР (</w:t>
      </w:r>
      <w:hyperlink r:id="rId8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1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347н). Для такого согласования необходимо обратиться в отделение СФР с заявлением и планом финансового обеспечения, указав в плане наименование мероприятий и планируемые расходы на них.</w:t>
      </w:r>
    </w:p>
    <w:p w14:paraId="05BF63CD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Для последующего возмещения затрат (после выполнения мероприятий) потребуется снова обратиться в фонд, представив заявление и оправдательные документы. Такой порядок действует с 01.01.2025.</w:t>
      </w:r>
    </w:p>
    <w:p w14:paraId="1A645983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lastRenderedPageBreak/>
        <w:t>Далее рассмотрим подробнее, в чем отличие новых правил от прежних.</w:t>
      </w:r>
    </w:p>
    <w:p w14:paraId="16CAA63F" w14:textId="77777777" w:rsidR="004F7CDB" w:rsidRPr="004F7CDB" w:rsidRDefault="004F7CDB" w:rsidP="004F7CDB">
      <w:pPr>
        <w:spacing w:before="210" w:after="0"/>
        <w:ind w:left="525" w:right="525"/>
        <w:outlineLvl w:val="3"/>
        <w:rPr>
          <w:rFonts w:eastAsia="Times New Roman" w:cs="Times New Roman"/>
          <w:color w:val="373737"/>
          <w:szCs w:val="28"/>
          <w:lang w:eastAsia="ru-RU"/>
        </w:rPr>
      </w:pPr>
      <w:r w:rsidRPr="004F7CDB">
        <w:rPr>
          <w:rFonts w:eastAsia="Times New Roman" w:cs="Times New Roman"/>
          <w:color w:val="373737"/>
          <w:szCs w:val="28"/>
          <w:lang w:eastAsia="ru-RU"/>
        </w:rPr>
        <w:t>Порядок подачи документов в СФР</w:t>
      </w:r>
    </w:p>
    <w:p w14:paraId="77588671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С 01.01.2025 оправдательные документы необходимо представлять вместе с заявлением на возмещение затрат (</w:t>
      </w:r>
      <w:hyperlink r:id="rId9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10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, </w:t>
      </w:r>
      <w:hyperlink r:id="rId10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11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347н). Исключение – документы, обосновывающие приобретение приборов, устройств, оборудования, обеспечивающих безопасное ведение горных работ, в рамках модернизации основных производств. Такие документы нужно подавать при первоначальном обращении в СФР вместе с планом финансового обеспечения и заявлением о таком обеспечении (</w:t>
      </w:r>
      <w:hyperlink r:id="rId11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4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347н).</w:t>
      </w:r>
    </w:p>
    <w:p w14:paraId="1A2A88CD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По прежним нормам все оправдательные документы требовалось представлять изначально вместе с планом финансового обеспечения (</w:t>
      </w:r>
      <w:hyperlink r:id="rId12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5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, </w:t>
      </w:r>
      <w:hyperlink r:id="rId13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6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467н). С 01.01.2025 при первоначальном обращении в СФР за разрешением на финансовое обеспечение предупредительных мер работодатель должен представить (</w:t>
      </w:r>
      <w:hyperlink r:id="rId14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4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347н):</w:t>
      </w:r>
    </w:p>
    <w:p w14:paraId="6CCEDBBD" w14:textId="77777777" w:rsidR="004F7CDB" w:rsidRPr="004F7CDB" w:rsidRDefault="004F7CDB" w:rsidP="004F7CDB">
      <w:pPr>
        <w:numPr>
          <w:ilvl w:val="0"/>
          <w:numId w:val="1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заявление по </w:t>
      </w:r>
      <w:hyperlink r:id="rId15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форме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, утв. приказом ФСС России от 07.05.2019 № 237;</w:t>
      </w:r>
    </w:p>
    <w:p w14:paraId="56D0D580" w14:textId="77777777" w:rsidR="004F7CDB" w:rsidRPr="004F7CDB" w:rsidRDefault="004F7CDB" w:rsidP="004F7CDB">
      <w:pPr>
        <w:numPr>
          <w:ilvl w:val="0"/>
          <w:numId w:val="1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план финансового обеспечения, его рекомендуемая форма приведена в </w:t>
      </w:r>
      <w:hyperlink r:id="rId16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приложении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к Правилам № 347н;</w:t>
      </w:r>
    </w:p>
    <w:p w14:paraId="249B6273" w14:textId="77777777" w:rsidR="004F7CDB" w:rsidRPr="004F7CDB" w:rsidRDefault="004F7CDB" w:rsidP="004F7CDB">
      <w:pPr>
        <w:numPr>
          <w:ilvl w:val="0"/>
          <w:numId w:val="1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оправдательные документы потребуется представить, если в план включены такие меры, как приобретение приборов, устройств, оборудования, обеспечивающих безопасное ведение горных работ, в рамках модернизации основных производств.</w:t>
      </w:r>
    </w:p>
    <w:p w14:paraId="781C8C2C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При обращении в СФР за возмещением затрат нужно представить (</w:t>
      </w:r>
      <w:hyperlink r:id="rId17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9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, </w:t>
      </w:r>
      <w:hyperlink r:id="rId18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10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347н):</w:t>
      </w:r>
    </w:p>
    <w:p w14:paraId="7A3A6F3D" w14:textId="77777777" w:rsidR="004F7CDB" w:rsidRPr="004F7CDB" w:rsidRDefault="004F7CDB" w:rsidP="004F7CDB">
      <w:pPr>
        <w:numPr>
          <w:ilvl w:val="0"/>
          <w:numId w:val="2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lastRenderedPageBreak/>
        <w:t>заявление;</w:t>
      </w:r>
    </w:p>
    <w:p w14:paraId="2ECA6FB9" w14:textId="77777777" w:rsidR="004F7CDB" w:rsidRPr="004F7CDB" w:rsidRDefault="004F7CDB" w:rsidP="004F7CDB">
      <w:pPr>
        <w:numPr>
          <w:ilvl w:val="0"/>
          <w:numId w:val="2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отчет о расходах на финансовое обеспечение предупредительных мер в текущем календарном году;</w:t>
      </w:r>
    </w:p>
    <w:p w14:paraId="272CC9BA" w14:textId="77777777" w:rsidR="004F7CDB" w:rsidRPr="004F7CDB" w:rsidRDefault="004F7CDB" w:rsidP="004F7CDB">
      <w:pPr>
        <w:numPr>
          <w:ilvl w:val="0"/>
          <w:numId w:val="2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копию (выписку из) локального нормативного акта о реализуемых мероприятиях по улучшению условий и охраны труда и (или) копию (выписку из) коллективного договора;</w:t>
      </w:r>
    </w:p>
    <w:p w14:paraId="7C439CEA" w14:textId="77777777" w:rsidR="004F7CDB" w:rsidRPr="004F7CDB" w:rsidRDefault="004F7CDB" w:rsidP="004F7CDB">
      <w:pPr>
        <w:numPr>
          <w:ilvl w:val="0"/>
          <w:numId w:val="2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платежные документы, подтверждающие оплату товаров (работ, услуг), и документы, подтверждающие их приобретение (выполнение);</w:t>
      </w:r>
    </w:p>
    <w:p w14:paraId="48E7ADA0" w14:textId="77777777" w:rsidR="004F7CDB" w:rsidRPr="004F7CDB" w:rsidRDefault="004F7CDB" w:rsidP="004F7CDB">
      <w:pPr>
        <w:numPr>
          <w:ilvl w:val="0"/>
          <w:numId w:val="2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оправдательные документы, обосновывающие затраты на конкретный вид предупредительных мер.</w:t>
      </w:r>
    </w:p>
    <w:p w14:paraId="7AFCAD43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До 01.01.2025 оправдательные документы и копию (выписку из) локального нормативного акта о реализуемых мероприятиях по улучшению условий и охраны труда и (или) копию (выписку из) коллективного договора требовалось подавать при первоначальном обращении в СФР (</w:t>
      </w:r>
      <w:hyperlink r:id="rId19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5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, </w:t>
      </w:r>
      <w:hyperlink r:id="rId20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6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467н).</w:t>
      </w:r>
    </w:p>
    <w:p w14:paraId="4A8FD0E2" w14:textId="77777777" w:rsidR="004F7CDB" w:rsidRPr="004F7CDB" w:rsidRDefault="004F7CDB" w:rsidP="004F7CDB">
      <w:pPr>
        <w:spacing w:before="210" w:after="0"/>
        <w:ind w:left="525" w:right="525"/>
        <w:outlineLvl w:val="3"/>
        <w:rPr>
          <w:rFonts w:eastAsia="Times New Roman" w:cs="Times New Roman"/>
          <w:color w:val="373737"/>
          <w:szCs w:val="28"/>
          <w:lang w:eastAsia="ru-RU"/>
        </w:rPr>
      </w:pPr>
      <w:r w:rsidRPr="004F7CDB">
        <w:rPr>
          <w:rFonts w:eastAsia="Times New Roman" w:cs="Times New Roman"/>
          <w:color w:val="373737"/>
          <w:szCs w:val="28"/>
          <w:lang w:eastAsia="ru-RU"/>
        </w:rPr>
        <w:t>Порядок рассмотрения заявления о финансовом обеспечении</w:t>
      </w:r>
    </w:p>
    <w:p w14:paraId="0A4D5D86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До 01.01.2025 порядок рассмотрения заявления работодателя зависел от следующих факторов (</w:t>
      </w:r>
      <w:hyperlink r:id="rId21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10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467н):</w:t>
      </w:r>
    </w:p>
    <w:p w14:paraId="550994FA" w14:textId="77777777" w:rsidR="004F7CDB" w:rsidRPr="004F7CDB" w:rsidRDefault="004F7CDB" w:rsidP="004F7CDB">
      <w:pPr>
        <w:numPr>
          <w:ilvl w:val="0"/>
          <w:numId w:val="3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величины взносов на травматизм, начисленных за предшествующий год,</w:t>
      </w:r>
    </w:p>
    <w:p w14:paraId="6BA5169B" w14:textId="77777777" w:rsidR="004F7CDB" w:rsidRPr="004F7CDB" w:rsidRDefault="004F7CDB" w:rsidP="004F7CDB">
      <w:pPr>
        <w:numPr>
          <w:ilvl w:val="0"/>
          <w:numId w:val="3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включения в план финансового обеспечения определенных мероприятий.</w:t>
      </w:r>
    </w:p>
    <w:p w14:paraId="376125B4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 xml:space="preserve">Если указанная величина взносов была до 25 млн руб. (включительно) и при этом в план не были вошли мероприятия, связанные с приобретением приборов, устройств, оборудования, обеспечивающих безопасное ведение горных работ, в рамках модернизации основных производств, то заявление работодателя </w:t>
      </w:r>
      <w:r w:rsidRPr="004F7CDB">
        <w:rPr>
          <w:rFonts w:eastAsia="Times New Roman" w:cs="Times New Roman"/>
          <w:color w:val="000000"/>
          <w:szCs w:val="28"/>
          <w:lang w:eastAsia="ru-RU"/>
        </w:rPr>
        <w:lastRenderedPageBreak/>
        <w:t>рассматривали специалисты отделения СФР по месту регистрации работодателя.</w:t>
      </w:r>
    </w:p>
    <w:p w14:paraId="24F04BB9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 xml:space="preserve">Если величина начисленных за прошлый год взносов </w:t>
      </w:r>
      <w:proofErr w:type="gramStart"/>
      <w:r w:rsidRPr="004F7CDB">
        <w:rPr>
          <w:rFonts w:eastAsia="Times New Roman" w:cs="Times New Roman"/>
          <w:color w:val="000000"/>
          <w:szCs w:val="28"/>
          <w:lang w:eastAsia="ru-RU"/>
        </w:rPr>
        <w:t>была</w:t>
      </w:r>
      <w:proofErr w:type="gramEnd"/>
      <w:r w:rsidRPr="004F7CDB">
        <w:rPr>
          <w:rFonts w:eastAsia="Times New Roman" w:cs="Times New Roman"/>
          <w:color w:val="000000"/>
          <w:szCs w:val="28"/>
          <w:lang w:eastAsia="ru-RU"/>
        </w:rPr>
        <w:t xml:space="preserve"> а более 25 млн руб. либо если в план финансового обеспечения были включены упомянутые</w:t>
      </w:r>
      <w:r w:rsidRPr="004F7CD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мероприятия, то решение по заявлению страхователя принималось после согласования с центральным аппаратом СФР.</w:t>
      </w:r>
    </w:p>
    <w:p w14:paraId="3195D02D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4F7CD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 01.01.2025 отменена такая оценка работодателя, как величина начисленных взносов. Таким образом, решение зависит только от того, предусматривает план финансового обеспечения приобретение приборов, устройств, оборудования, обеспечивающих безопасное ведение горных работ, в рамках модернизации основных производств или нет.</w:t>
      </w:r>
    </w:p>
    <w:p w14:paraId="5B600B43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4F7CD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Если такая покупка не запланирована, то отделение СФР примет решение о финансовом обеспечении затрат либо уведомит об отказе в течение 10 рабочих дней с даты представления работодателем заявления и плана финансового обеспечения.</w:t>
      </w:r>
    </w:p>
    <w:p w14:paraId="0E9CFD08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4F7CD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Если приобретение упомянутых приборов и устройств включено в план, то отделение СФР в течение 3 рабочих дней с момента обращения работодателя направит полученные от него документы в СФР. Окончательный ответ работодатель должен получить в течение 15 рабочих дней с момента поступления документов в СФР (</w:t>
      </w:r>
      <w:hyperlink r:id="rId22" w:tgtFrame="_top" w:history="1">
        <w:r w:rsidRPr="004F7CDB">
          <w:rPr>
            <w:rFonts w:ascii="Roboto" w:eastAsia="Times New Roman" w:hAnsi="Roboto" w:cs="Times New Roman"/>
            <w:color w:val="16489B"/>
            <w:sz w:val="21"/>
            <w:szCs w:val="21"/>
            <w:lang w:eastAsia="ru-RU"/>
          </w:rPr>
          <w:t>п. 5 Правил</w:t>
        </w:r>
      </w:hyperlink>
      <w:r w:rsidRPr="004F7CD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№ 347н).</w:t>
      </w:r>
    </w:p>
    <w:p w14:paraId="37A3E0C4" w14:textId="77777777" w:rsidR="004F7CDB" w:rsidRPr="004F7CDB" w:rsidRDefault="004F7CDB" w:rsidP="004F7CDB">
      <w:pPr>
        <w:spacing w:before="210" w:after="0"/>
        <w:ind w:left="525" w:right="525"/>
        <w:outlineLvl w:val="3"/>
        <w:rPr>
          <w:rFonts w:ascii="Trebuchet MS" w:eastAsia="Times New Roman" w:hAnsi="Trebuchet MS" w:cs="Times New Roman"/>
          <w:color w:val="373737"/>
          <w:sz w:val="33"/>
          <w:szCs w:val="33"/>
          <w:lang w:eastAsia="ru-RU"/>
        </w:rPr>
      </w:pPr>
      <w:r w:rsidRPr="004F7CDB">
        <w:rPr>
          <w:rFonts w:ascii="Trebuchet MS" w:eastAsia="Times New Roman" w:hAnsi="Trebuchet MS" w:cs="Times New Roman"/>
          <w:color w:val="373737"/>
          <w:sz w:val="33"/>
          <w:szCs w:val="33"/>
          <w:lang w:eastAsia="ru-RU"/>
        </w:rPr>
        <w:t>Перечень оснований для отказа в финансовом обеспечении</w:t>
      </w:r>
    </w:p>
    <w:p w14:paraId="24F29646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4F7CD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соответствии с новыми правилами отказать в финансировании предупредительных мер отделение СФР может в двух случаях (</w:t>
      </w:r>
      <w:hyperlink r:id="rId23" w:tgtFrame="_top" w:history="1">
        <w:r w:rsidRPr="004F7CDB">
          <w:rPr>
            <w:rFonts w:ascii="Roboto" w:eastAsia="Times New Roman" w:hAnsi="Roboto" w:cs="Times New Roman"/>
            <w:color w:val="16489B"/>
            <w:sz w:val="21"/>
            <w:szCs w:val="21"/>
            <w:lang w:eastAsia="ru-RU"/>
          </w:rPr>
          <w:t>п. 6 Правил</w:t>
        </w:r>
      </w:hyperlink>
      <w:r w:rsidRPr="004F7CD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№ 347н):</w:t>
      </w:r>
    </w:p>
    <w:p w14:paraId="097BB175" w14:textId="77777777" w:rsidR="004F7CDB" w:rsidRPr="004F7CDB" w:rsidRDefault="004F7CDB" w:rsidP="004F7CDB">
      <w:pPr>
        <w:numPr>
          <w:ilvl w:val="0"/>
          <w:numId w:val="4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на день подачи заявления у работодателя есть непогашенные недоимка, задолженность по пеням и штрафам, образовавшиеся в текущем </w:t>
      </w:r>
      <w:r w:rsidRPr="004F7CDB">
        <w:rPr>
          <w:rFonts w:eastAsia="Times New Roman" w:cs="Times New Roman"/>
          <w:color w:val="000000"/>
          <w:szCs w:val="28"/>
          <w:lang w:eastAsia="ru-RU"/>
        </w:rPr>
        <w:t xml:space="preserve">финансовом году, или недоимка, пени и штрафы, </w:t>
      </w:r>
      <w:r w:rsidRPr="004F7CDB">
        <w:rPr>
          <w:rFonts w:eastAsia="Times New Roman" w:cs="Times New Roman"/>
          <w:color w:val="000000"/>
          <w:szCs w:val="28"/>
          <w:lang w:eastAsia="ru-RU"/>
        </w:rPr>
        <w:lastRenderedPageBreak/>
        <w:t>выявленные (начисленные) в ходе камеральной или выездной проверки;</w:t>
      </w:r>
    </w:p>
    <w:p w14:paraId="6953878E" w14:textId="77777777" w:rsidR="004F7CDB" w:rsidRPr="004F7CDB" w:rsidRDefault="004F7CDB" w:rsidP="004F7CDB">
      <w:pPr>
        <w:numPr>
          <w:ilvl w:val="0"/>
          <w:numId w:val="4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средства СФР, предназначенные на финансовое обеспечение предупредительных мер, к моменту обращения работодателя уже полностью распределены на текущий год.</w:t>
      </w:r>
    </w:p>
    <w:p w14:paraId="44843950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До 01.01.2025 отказать могли также в следующих случаях (</w:t>
      </w:r>
      <w:hyperlink r:id="rId24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12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467н):</w:t>
      </w:r>
    </w:p>
    <w:p w14:paraId="1F978D07" w14:textId="77777777" w:rsidR="004F7CDB" w:rsidRPr="004F7CDB" w:rsidRDefault="004F7CDB" w:rsidP="004F7CDB">
      <w:pPr>
        <w:numPr>
          <w:ilvl w:val="0"/>
          <w:numId w:val="5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работодатель подал неполный комплект документов,</w:t>
      </w:r>
    </w:p>
    <w:p w14:paraId="140A0CA7" w14:textId="77777777" w:rsidR="004F7CDB" w:rsidRPr="004F7CDB" w:rsidRDefault="004F7CDB" w:rsidP="004F7CDB">
      <w:pPr>
        <w:numPr>
          <w:ilvl w:val="0"/>
          <w:numId w:val="5"/>
        </w:numPr>
        <w:spacing w:before="100" w:beforeAutospacing="1" w:after="100" w:afterAutospacing="1" w:line="480" w:lineRule="atLeast"/>
        <w:ind w:left="1418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представленные документы содержат недостоверную информацию.</w:t>
      </w:r>
    </w:p>
    <w:p w14:paraId="6094249A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Такие изменения связаны с тем, что подтверждающие документы работодатель теперь подает позже, а именно при обращении за возмещением средств.</w:t>
      </w:r>
    </w:p>
    <w:p w14:paraId="2E4D2228" w14:textId="77777777" w:rsidR="004F7CDB" w:rsidRPr="004F7CDB" w:rsidRDefault="004F7CDB" w:rsidP="004F7CDB">
      <w:pPr>
        <w:spacing w:before="210" w:after="0"/>
        <w:ind w:left="525" w:right="525"/>
        <w:outlineLvl w:val="3"/>
        <w:rPr>
          <w:rFonts w:eastAsia="Times New Roman" w:cs="Times New Roman"/>
          <w:color w:val="373737"/>
          <w:szCs w:val="28"/>
          <w:lang w:eastAsia="ru-RU"/>
        </w:rPr>
      </w:pPr>
      <w:r w:rsidRPr="004F7CDB">
        <w:rPr>
          <w:rFonts w:eastAsia="Times New Roman" w:cs="Times New Roman"/>
          <w:color w:val="373737"/>
          <w:szCs w:val="28"/>
          <w:lang w:eastAsia="ru-RU"/>
        </w:rPr>
        <w:t>Сроки обращения в СФР за разрешением о финансовом обеспечении предупредительных мер и за возмещением расходов</w:t>
      </w:r>
    </w:p>
    <w:p w14:paraId="602415D2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Отметим, что срок для подачи в отделение СФР заявления о финансовом обеспечении предупредительных мер не изменился. Это по-прежнему нужно сделать до 1 августа текущего года (</w:t>
      </w:r>
      <w:hyperlink r:id="rId25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4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347н, </w:t>
      </w:r>
      <w:hyperlink r:id="rId26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4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467н). Если работодатель первоначально обратился в фонд за одобрением суммы средств, направляемой на финансирование предупредительных мер в размере, который меньше предельного значения (возможного для одобрения фондом), то впоследствии он вправе дополнительно подать заявление в СФР на оставшуюся сумму.</w:t>
      </w:r>
    </w:p>
    <w:p w14:paraId="63660974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С 01.01.2025 это можно сделать до 1 сентября (</w:t>
      </w:r>
      <w:hyperlink r:id="rId27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7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347н).</w:t>
      </w:r>
    </w:p>
    <w:p w14:paraId="5C85A41F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До указанной даты повторно обратиться в этом случае в СФР нужно было не позднее 1 августа (</w:t>
      </w:r>
      <w:hyperlink r:id="rId28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13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 xml:space="preserve"> № 467н). Кроме того, по новому порядку исключена необходимость обращения с новым </w:t>
      </w:r>
      <w:r w:rsidRPr="004F7CDB">
        <w:rPr>
          <w:rFonts w:eastAsia="Times New Roman" w:cs="Times New Roman"/>
          <w:color w:val="000000"/>
          <w:szCs w:val="28"/>
          <w:lang w:eastAsia="ru-RU"/>
        </w:rPr>
        <w:lastRenderedPageBreak/>
        <w:t>заявлением в СФР в случае, когда работодатель в пределах уже одобренной суммы финансового возмещения решил скорректировать план предупредительных мероприятий (</w:t>
      </w:r>
      <w:hyperlink r:id="rId29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7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347н). По старым нормам в подобной ситуации нужно было повторно до 20 ноября подать в СФР заявление о внесении изменений в план (</w:t>
      </w:r>
      <w:hyperlink r:id="rId30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14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467н).</w:t>
      </w:r>
    </w:p>
    <w:p w14:paraId="0DF61234" w14:textId="77777777" w:rsidR="004F7CDB" w:rsidRPr="004F7CDB" w:rsidRDefault="004F7CDB" w:rsidP="004F7CDB">
      <w:pPr>
        <w:spacing w:before="105" w:after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С 2025 года заявление на возмещение затрат на предупредительные меры нужно подать до 15 ноября текущего года (</w:t>
      </w:r>
      <w:hyperlink r:id="rId31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9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347н). По прежним правилам это требовалось сделать не позднее 15 декабря текущего года (</w:t>
      </w:r>
      <w:hyperlink r:id="rId32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17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467н). Таким образом, срок обращения сокращен на один месяц.</w:t>
      </w:r>
    </w:p>
    <w:p w14:paraId="34251FAC" w14:textId="77777777" w:rsidR="004F7CDB" w:rsidRPr="004F7CDB" w:rsidRDefault="004F7CDB" w:rsidP="004F7CDB">
      <w:pPr>
        <w:spacing w:before="105" w:line="480" w:lineRule="atLeast"/>
        <w:ind w:left="525" w:right="525"/>
        <w:rPr>
          <w:rFonts w:eastAsia="Times New Roman" w:cs="Times New Roman"/>
          <w:color w:val="000000"/>
          <w:szCs w:val="28"/>
          <w:lang w:eastAsia="ru-RU"/>
        </w:rPr>
      </w:pPr>
      <w:r w:rsidRPr="004F7CDB">
        <w:rPr>
          <w:rFonts w:eastAsia="Times New Roman" w:cs="Times New Roman"/>
          <w:color w:val="000000"/>
          <w:szCs w:val="28"/>
          <w:lang w:eastAsia="ru-RU"/>
        </w:rPr>
        <w:t>В то же время есть и благоприятные для работодателя изменения в этой части. Так, обратиться за возмещением затрат можно после выполнения не всех (как ранее), а хотя бы одной из запланированных предупредительных мер (</w:t>
      </w:r>
      <w:hyperlink r:id="rId33" w:tgtFrame="_top" w:history="1">
        <w:r w:rsidRPr="004F7CDB">
          <w:rPr>
            <w:rFonts w:eastAsia="Times New Roman" w:cs="Times New Roman"/>
            <w:color w:val="16489B"/>
            <w:szCs w:val="28"/>
            <w:lang w:eastAsia="ru-RU"/>
          </w:rPr>
          <w:t>п. 9 Правил</w:t>
        </w:r>
      </w:hyperlink>
      <w:r w:rsidRPr="004F7CDB">
        <w:rPr>
          <w:rFonts w:eastAsia="Times New Roman" w:cs="Times New Roman"/>
          <w:color w:val="000000"/>
          <w:szCs w:val="28"/>
          <w:lang w:eastAsia="ru-RU"/>
        </w:rPr>
        <w:t> № 347н).</w:t>
      </w:r>
    </w:p>
    <w:p w14:paraId="5E875C25" w14:textId="77777777" w:rsidR="004F7CDB" w:rsidRPr="00457795" w:rsidRDefault="004F7CDB" w:rsidP="00457795">
      <w:pPr>
        <w:spacing w:after="100" w:afterAutospacing="1"/>
        <w:rPr>
          <w:rFonts w:eastAsia="Times New Roman" w:cs="Times New Roman"/>
          <w:szCs w:val="28"/>
          <w:lang w:eastAsia="ru-RU"/>
        </w:rPr>
      </w:pPr>
    </w:p>
    <w:p w14:paraId="555AF29A" w14:textId="21FC5855" w:rsidR="00F12C76" w:rsidRPr="000B46DE" w:rsidRDefault="00F12C76" w:rsidP="00457795">
      <w:pPr>
        <w:rPr>
          <w:rFonts w:cs="Times New Roman"/>
          <w:szCs w:val="28"/>
        </w:rPr>
      </w:pPr>
    </w:p>
    <w:p w14:paraId="68D5668E" w14:textId="5DCC3FD5" w:rsidR="004F7CDB" w:rsidRPr="000B46DE" w:rsidRDefault="004F7CDB" w:rsidP="00457795">
      <w:pPr>
        <w:rPr>
          <w:rFonts w:cs="Times New Roman"/>
          <w:szCs w:val="28"/>
        </w:rPr>
      </w:pPr>
    </w:p>
    <w:p w14:paraId="7FB9BDF2" w14:textId="13B8D884" w:rsidR="004F7CDB" w:rsidRPr="000B46DE" w:rsidRDefault="004F7CDB" w:rsidP="00457795">
      <w:pPr>
        <w:rPr>
          <w:rFonts w:cs="Times New Roman"/>
          <w:szCs w:val="28"/>
        </w:rPr>
      </w:pPr>
    </w:p>
    <w:p w14:paraId="3556ED23" w14:textId="62D41F7F" w:rsidR="004F7CDB" w:rsidRPr="000B46DE" w:rsidRDefault="004F7CDB" w:rsidP="00457795">
      <w:pPr>
        <w:rPr>
          <w:rFonts w:cs="Times New Roman"/>
          <w:szCs w:val="28"/>
        </w:rPr>
      </w:pPr>
    </w:p>
    <w:p w14:paraId="7EC9256C" w14:textId="05AD9BB8" w:rsidR="004F7CDB" w:rsidRPr="000B46DE" w:rsidRDefault="004F7CDB" w:rsidP="00457795">
      <w:pPr>
        <w:rPr>
          <w:rFonts w:cs="Times New Roman"/>
          <w:szCs w:val="28"/>
        </w:rPr>
      </w:pPr>
    </w:p>
    <w:p w14:paraId="703BA281" w14:textId="3AD625B3" w:rsidR="004F7CDB" w:rsidRPr="000B46DE" w:rsidRDefault="004F7CDB" w:rsidP="00457795">
      <w:pPr>
        <w:rPr>
          <w:rFonts w:cs="Times New Roman"/>
          <w:szCs w:val="28"/>
        </w:rPr>
      </w:pPr>
    </w:p>
    <w:p w14:paraId="4471212A" w14:textId="431219A1" w:rsidR="004F7CDB" w:rsidRPr="000B46DE" w:rsidRDefault="004F7CDB" w:rsidP="00457795">
      <w:pPr>
        <w:rPr>
          <w:rFonts w:cs="Times New Roman"/>
          <w:szCs w:val="28"/>
        </w:rPr>
      </w:pPr>
    </w:p>
    <w:p w14:paraId="286E195F" w14:textId="22D009DC" w:rsidR="004F7CDB" w:rsidRPr="000B46DE" w:rsidRDefault="004F7CDB" w:rsidP="00457795">
      <w:pPr>
        <w:rPr>
          <w:rFonts w:cs="Times New Roman"/>
          <w:szCs w:val="28"/>
        </w:rPr>
      </w:pPr>
    </w:p>
    <w:p w14:paraId="2217072E" w14:textId="687B2369" w:rsidR="004F7CDB" w:rsidRPr="000B46DE" w:rsidRDefault="004F7CDB" w:rsidP="00457795">
      <w:pPr>
        <w:rPr>
          <w:rFonts w:cs="Times New Roman"/>
          <w:szCs w:val="28"/>
        </w:rPr>
      </w:pPr>
    </w:p>
    <w:p w14:paraId="570A59B8" w14:textId="77777777" w:rsidR="004F7CDB" w:rsidRPr="000B46DE" w:rsidRDefault="004F7CDB" w:rsidP="00457795">
      <w:pPr>
        <w:rPr>
          <w:rFonts w:cs="Times New Roman"/>
          <w:szCs w:val="28"/>
        </w:rPr>
      </w:pPr>
    </w:p>
    <w:sectPr w:rsidR="004F7CDB" w:rsidRPr="000B46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AE4"/>
    <w:multiLevelType w:val="multilevel"/>
    <w:tmpl w:val="A04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82E4C"/>
    <w:multiLevelType w:val="multilevel"/>
    <w:tmpl w:val="8AD4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D283C"/>
    <w:multiLevelType w:val="multilevel"/>
    <w:tmpl w:val="88EC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251C5"/>
    <w:multiLevelType w:val="multilevel"/>
    <w:tmpl w:val="874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02A69"/>
    <w:multiLevelType w:val="multilevel"/>
    <w:tmpl w:val="6E5E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97"/>
    <w:rsid w:val="000B46DE"/>
    <w:rsid w:val="00190397"/>
    <w:rsid w:val="00457795"/>
    <w:rsid w:val="004F7CDB"/>
    <w:rsid w:val="006C0B77"/>
    <w:rsid w:val="008242FF"/>
    <w:rsid w:val="00870751"/>
    <w:rsid w:val="00922C48"/>
    <w:rsid w:val="00B915B7"/>
    <w:rsid w:val="00C818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26F9"/>
  <w15:chartTrackingRefBased/>
  <w15:docId w15:val="{FAAD6A09-6530-46C7-8D22-63159597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365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881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s.1c.ru/db/garant/content/402672606/hdoc/1006" TargetMode="External"/><Relationship Id="rId18" Type="http://schemas.openxmlformats.org/officeDocument/2006/relationships/hyperlink" Target="https://its.1c.ru/db/garant/content/410663482/hdoc/1010" TargetMode="External"/><Relationship Id="rId26" Type="http://schemas.openxmlformats.org/officeDocument/2006/relationships/hyperlink" Target="https://its.1c.ru/db/garant/content/402672606/hdoc/1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s.1c.ru/db/garant/content/402672606/hdoc/10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ts.1c.ru/db/garant/content/402672606/hdoc" TargetMode="External"/><Relationship Id="rId12" Type="http://schemas.openxmlformats.org/officeDocument/2006/relationships/hyperlink" Target="https://its.1c.ru/db/garant/content/402672606/hdoc/1005" TargetMode="External"/><Relationship Id="rId17" Type="http://schemas.openxmlformats.org/officeDocument/2006/relationships/hyperlink" Target="https://its.1c.ru/db/garant/content/410663482/hdoc/109" TargetMode="External"/><Relationship Id="rId25" Type="http://schemas.openxmlformats.org/officeDocument/2006/relationships/hyperlink" Target="https://its.1c.ru/db/garant/content/410663482/hdoc/1004" TargetMode="External"/><Relationship Id="rId33" Type="http://schemas.openxmlformats.org/officeDocument/2006/relationships/hyperlink" Target="https://its.1c.ru/db/garant/content/410663482/hdoc/10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s.1c.ru/db/garant/content/410663482/hdoc/11000" TargetMode="External"/><Relationship Id="rId20" Type="http://schemas.openxmlformats.org/officeDocument/2006/relationships/hyperlink" Target="https://its.1c.ru/db/garant/content/402672606/hdoc/1006" TargetMode="External"/><Relationship Id="rId29" Type="http://schemas.openxmlformats.org/officeDocument/2006/relationships/hyperlink" Target="https://its.1c.ru/db/garant/content/410663482/hdoc/10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410663482/hdoc/1000" TargetMode="External"/><Relationship Id="rId11" Type="http://schemas.openxmlformats.org/officeDocument/2006/relationships/hyperlink" Target="https://its.1c.ru/db/garant/content/410663482/hdoc/1004" TargetMode="External"/><Relationship Id="rId24" Type="http://schemas.openxmlformats.org/officeDocument/2006/relationships/hyperlink" Target="https://its.1c.ru/db/garant/content/402672606/hdoc/1012" TargetMode="External"/><Relationship Id="rId32" Type="http://schemas.openxmlformats.org/officeDocument/2006/relationships/hyperlink" Target="https://its.1c.ru/db/garant/content/402672606/hdoc/1017" TargetMode="External"/><Relationship Id="rId5" Type="http://schemas.openxmlformats.org/officeDocument/2006/relationships/hyperlink" Target="https://its.1c.ru/db/garant/content/410663482/hdoc" TargetMode="External"/><Relationship Id="rId15" Type="http://schemas.openxmlformats.org/officeDocument/2006/relationships/hyperlink" Target="https://its.1c.ru/db/garant/content/72493668/hdoc/11000" TargetMode="External"/><Relationship Id="rId23" Type="http://schemas.openxmlformats.org/officeDocument/2006/relationships/hyperlink" Target="https://its.1c.ru/db/garant/content/410663482/hdoc/1006" TargetMode="External"/><Relationship Id="rId28" Type="http://schemas.openxmlformats.org/officeDocument/2006/relationships/hyperlink" Target="https://its.1c.ru/db/garant/content/402672606/hdoc/1013" TargetMode="External"/><Relationship Id="rId10" Type="http://schemas.openxmlformats.org/officeDocument/2006/relationships/hyperlink" Target="https://its.1c.ru/db/garant/content/410663482/hdoc/1011" TargetMode="External"/><Relationship Id="rId19" Type="http://schemas.openxmlformats.org/officeDocument/2006/relationships/hyperlink" Target="https://its.1c.ru/db/garant/content/402672606/hdoc/1005" TargetMode="External"/><Relationship Id="rId31" Type="http://schemas.openxmlformats.org/officeDocument/2006/relationships/hyperlink" Target="https://its.1c.ru/db/garant/content/410663482/hdoc/1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garant/content/410663482/hdoc/1010" TargetMode="External"/><Relationship Id="rId14" Type="http://schemas.openxmlformats.org/officeDocument/2006/relationships/hyperlink" Target="https://its.1c.ru/db/garant/content/410663482/hdoc/1004" TargetMode="External"/><Relationship Id="rId22" Type="http://schemas.openxmlformats.org/officeDocument/2006/relationships/hyperlink" Target="https://its.1c.ru/db/garant/content/410663482/hdoc/1005" TargetMode="External"/><Relationship Id="rId27" Type="http://schemas.openxmlformats.org/officeDocument/2006/relationships/hyperlink" Target="https://its.1c.ru/db/garant/content/410663482/hdoc/1007" TargetMode="External"/><Relationship Id="rId30" Type="http://schemas.openxmlformats.org/officeDocument/2006/relationships/hyperlink" Target="https://its.1c.ru/db/garant/content/402672606/hdoc/101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ts.1c.ru/db/garant/content/410663482/hdoc/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2025-03-10T12:33:00Z</dcterms:created>
  <dcterms:modified xsi:type="dcterms:W3CDTF">2025-03-10T12:33:00Z</dcterms:modified>
</cp:coreProperties>
</file>