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CF9" w:rsidRDefault="00714CF9" w:rsidP="00714CF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СОБРАНИЕ ДЕПУТАТОВ</w:t>
      </w:r>
      <w:r>
        <w:rPr>
          <w:b/>
          <w:bCs/>
          <w:sz w:val="28"/>
          <w:szCs w:val="28"/>
        </w:rPr>
        <w:br/>
        <w:t>ВИЛЕГОДСКОГО МУНИЦИПАЛЬНОГО ОКРУГА</w:t>
      </w:r>
      <w:r>
        <w:rPr>
          <w:b/>
          <w:bCs/>
          <w:sz w:val="28"/>
          <w:szCs w:val="28"/>
        </w:rPr>
        <w:br/>
        <w:t>АРХАНГЕЛЬСКОЙ ОБЛАСТИ</w:t>
      </w:r>
    </w:p>
    <w:p w:rsidR="00714CF9" w:rsidRDefault="00714CF9" w:rsidP="00714C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(первого созыва)</w:t>
      </w:r>
    </w:p>
    <w:p w:rsidR="00714CF9" w:rsidRDefault="00714CF9" w:rsidP="00714CF9">
      <w:pPr>
        <w:jc w:val="center"/>
        <w:rPr>
          <w:sz w:val="28"/>
          <w:szCs w:val="28"/>
        </w:rPr>
      </w:pPr>
    </w:p>
    <w:p w:rsidR="00714CF9" w:rsidRDefault="00714CF9" w:rsidP="00714CF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714CF9" w:rsidRDefault="00714CF9" w:rsidP="00714CF9">
      <w:pPr>
        <w:jc w:val="center"/>
        <w:rPr>
          <w:bCs/>
          <w:sz w:val="28"/>
          <w:szCs w:val="28"/>
        </w:rPr>
      </w:pPr>
    </w:p>
    <w:p w:rsidR="00714CF9" w:rsidRDefault="00714CF9" w:rsidP="00714C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23 декабря 2021 </w:t>
      </w:r>
      <w:proofErr w:type="gramStart"/>
      <w:r>
        <w:rPr>
          <w:b/>
          <w:bCs/>
          <w:sz w:val="28"/>
          <w:szCs w:val="28"/>
        </w:rPr>
        <w:t>года  №</w:t>
      </w:r>
      <w:proofErr w:type="gramEnd"/>
      <w:r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>6</w:t>
      </w:r>
    </w:p>
    <w:p w:rsidR="00477991" w:rsidRPr="00477991" w:rsidRDefault="00477991" w:rsidP="00477991">
      <w:pPr>
        <w:rPr>
          <w:bCs/>
          <w:sz w:val="26"/>
          <w:szCs w:val="26"/>
        </w:rPr>
      </w:pPr>
    </w:p>
    <w:p w:rsidR="00477991" w:rsidRPr="00ED5E3F" w:rsidRDefault="00477991" w:rsidP="00562471">
      <w:pPr>
        <w:jc w:val="center"/>
        <w:rPr>
          <w:b/>
          <w:sz w:val="28"/>
          <w:szCs w:val="28"/>
        </w:rPr>
      </w:pPr>
      <w:bookmarkStart w:id="0" w:name="_Hlk61252707"/>
      <w:r w:rsidRPr="00ED5E3F">
        <w:rPr>
          <w:b/>
          <w:sz w:val="28"/>
          <w:szCs w:val="28"/>
        </w:rPr>
        <w:t xml:space="preserve">О внесении изменений в </w:t>
      </w:r>
      <w:r w:rsidR="00562471" w:rsidRPr="00ED5E3F">
        <w:rPr>
          <w:b/>
          <w:sz w:val="28"/>
          <w:szCs w:val="28"/>
        </w:rPr>
        <w:t xml:space="preserve">Перечень населенных пунктов Вилегодского муниципального округа, расходы по доставке товаров в которые частично компенсируются поставщику за счет средств бюджета Вилегодского муниципального округа </w:t>
      </w:r>
      <w:bookmarkEnd w:id="0"/>
    </w:p>
    <w:p w:rsidR="00562471" w:rsidRPr="00ED5E3F" w:rsidRDefault="00562471" w:rsidP="00562471">
      <w:pPr>
        <w:jc w:val="center"/>
        <w:rPr>
          <w:b/>
          <w:sz w:val="28"/>
          <w:szCs w:val="28"/>
        </w:rPr>
      </w:pPr>
    </w:p>
    <w:p w:rsidR="00477991" w:rsidRPr="00ED5E3F" w:rsidRDefault="00477991" w:rsidP="00A57D79">
      <w:pPr>
        <w:ind w:firstLine="709"/>
        <w:jc w:val="both"/>
        <w:rPr>
          <w:b/>
          <w:sz w:val="28"/>
          <w:szCs w:val="28"/>
        </w:rPr>
      </w:pPr>
      <w:r w:rsidRPr="00ED5E3F">
        <w:rPr>
          <w:sz w:val="28"/>
          <w:szCs w:val="28"/>
        </w:rPr>
        <w:t>В соответствии с областным законом от 24.09.2010 № 203-15-</w:t>
      </w:r>
      <w:r w:rsidR="00851272">
        <w:rPr>
          <w:sz w:val="28"/>
          <w:szCs w:val="28"/>
        </w:rPr>
        <w:t xml:space="preserve">ОЗ </w:t>
      </w:r>
      <w:r w:rsidR="00851272">
        <w:rPr>
          <w:sz w:val="28"/>
          <w:szCs w:val="28"/>
        </w:rPr>
        <w:br/>
      </w:r>
      <w:r w:rsidR="00851272" w:rsidRPr="00851272">
        <w:rPr>
          <w:sz w:val="28"/>
          <w:szCs w:val="28"/>
        </w:rPr>
        <w:t>«О</w:t>
      </w:r>
      <w:r w:rsidR="00851272" w:rsidRPr="00851272">
        <w:rPr>
          <w:rFonts w:eastAsiaTheme="minorHAnsi"/>
          <w:sz w:val="28"/>
          <w:szCs w:val="28"/>
          <w:lang w:eastAsia="en-US"/>
        </w:rPr>
        <w:t xml:space="preserve"> предоставлении из областного бюджета субсидий бюджетам мун</w:t>
      </w:r>
      <w:r w:rsidR="00EB2263">
        <w:rPr>
          <w:rFonts w:eastAsiaTheme="minorHAnsi"/>
          <w:sz w:val="28"/>
          <w:szCs w:val="28"/>
          <w:lang w:eastAsia="en-US"/>
        </w:rPr>
        <w:t>иципальных районов А</w:t>
      </w:r>
      <w:r w:rsidR="00851272" w:rsidRPr="00851272">
        <w:rPr>
          <w:rFonts w:eastAsiaTheme="minorHAnsi"/>
          <w:sz w:val="28"/>
          <w:szCs w:val="28"/>
          <w:lang w:eastAsia="en-US"/>
        </w:rPr>
        <w:t xml:space="preserve">рхангельской области на софинансирование расходов по созданию условий для обеспечения поселений услугами торговли, бюджетам муниципальных округов </w:t>
      </w:r>
      <w:r w:rsidR="00EB2263">
        <w:rPr>
          <w:rFonts w:eastAsiaTheme="minorHAnsi"/>
          <w:sz w:val="28"/>
          <w:szCs w:val="28"/>
          <w:lang w:eastAsia="en-US"/>
        </w:rPr>
        <w:t>А</w:t>
      </w:r>
      <w:r w:rsidR="00851272" w:rsidRPr="00851272">
        <w:rPr>
          <w:rFonts w:eastAsiaTheme="minorHAnsi"/>
          <w:sz w:val="28"/>
          <w:szCs w:val="28"/>
          <w:lang w:eastAsia="en-US"/>
        </w:rPr>
        <w:t xml:space="preserve">рхангельской области на софинансирование расходов по созданию условий для обеспечения жителей муниципальных округов </w:t>
      </w:r>
      <w:r w:rsidR="00EB2263">
        <w:rPr>
          <w:rFonts w:eastAsiaTheme="minorHAnsi"/>
          <w:sz w:val="28"/>
          <w:szCs w:val="28"/>
          <w:lang w:eastAsia="en-US"/>
        </w:rPr>
        <w:t>А</w:t>
      </w:r>
      <w:r w:rsidR="00851272" w:rsidRPr="00851272">
        <w:rPr>
          <w:rFonts w:eastAsiaTheme="minorHAnsi"/>
          <w:sz w:val="28"/>
          <w:szCs w:val="28"/>
          <w:lang w:eastAsia="en-US"/>
        </w:rPr>
        <w:t>рхангельской области услугами торговл</w:t>
      </w:r>
      <w:r w:rsidR="00EB2263">
        <w:rPr>
          <w:rFonts w:eastAsiaTheme="minorHAnsi"/>
          <w:sz w:val="28"/>
          <w:szCs w:val="28"/>
          <w:lang w:eastAsia="en-US"/>
        </w:rPr>
        <w:t>и и бюджетам городских округов А</w:t>
      </w:r>
      <w:r w:rsidR="00851272" w:rsidRPr="00851272">
        <w:rPr>
          <w:rFonts w:eastAsiaTheme="minorHAnsi"/>
          <w:sz w:val="28"/>
          <w:szCs w:val="28"/>
          <w:lang w:eastAsia="en-US"/>
        </w:rPr>
        <w:t xml:space="preserve">рхангельской области на софинансирование расходов по созданию условий для обеспечения жителей городских округов </w:t>
      </w:r>
      <w:r w:rsidR="00EB2263">
        <w:rPr>
          <w:rFonts w:eastAsiaTheme="minorHAnsi"/>
          <w:sz w:val="28"/>
          <w:szCs w:val="28"/>
          <w:lang w:eastAsia="en-US"/>
        </w:rPr>
        <w:t>А</w:t>
      </w:r>
      <w:r w:rsidR="00851272" w:rsidRPr="00851272">
        <w:rPr>
          <w:rFonts w:eastAsiaTheme="minorHAnsi"/>
          <w:sz w:val="28"/>
          <w:szCs w:val="28"/>
          <w:lang w:eastAsia="en-US"/>
        </w:rPr>
        <w:t>рхангельской области услугами торговли</w:t>
      </w:r>
      <w:r w:rsidR="00EB2263">
        <w:rPr>
          <w:rFonts w:eastAsiaTheme="minorHAnsi"/>
          <w:sz w:val="28"/>
          <w:szCs w:val="28"/>
          <w:lang w:eastAsia="en-US"/>
        </w:rPr>
        <w:t>»</w:t>
      </w:r>
      <w:r w:rsidRPr="00851272">
        <w:rPr>
          <w:sz w:val="28"/>
          <w:szCs w:val="28"/>
        </w:rPr>
        <w:t xml:space="preserve">, </w:t>
      </w:r>
      <w:r w:rsidR="00EB2263">
        <w:rPr>
          <w:sz w:val="28"/>
          <w:szCs w:val="28"/>
        </w:rPr>
        <w:t xml:space="preserve">руководствуясь </w:t>
      </w:r>
      <w:r w:rsidRPr="00851272">
        <w:rPr>
          <w:sz w:val="28"/>
          <w:szCs w:val="28"/>
        </w:rPr>
        <w:t>Уставом</w:t>
      </w:r>
      <w:r w:rsidRPr="00ED5E3F">
        <w:rPr>
          <w:sz w:val="28"/>
          <w:szCs w:val="28"/>
        </w:rPr>
        <w:t xml:space="preserve"> Вилегодского муниципального округа Архангельской области, Собрание депутатов </w:t>
      </w:r>
      <w:r w:rsidRPr="00ED5E3F">
        <w:rPr>
          <w:b/>
          <w:sz w:val="28"/>
          <w:szCs w:val="28"/>
        </w:rPr>
        <w:t>РЕШИЛО:</w:t>
      </w:r>
    </w:p>
    <w:p w:rsidR="00477991" w:rsidRPr="00ED5E3F" w:rsidRDefault="00477991" w:rsidP="00477991">
      <w:pPr>
        <w:spacing w:line="276" w:lineRule="auto"/>
        <w:ind w:firstLine="709"/>
        <w:jc w:val="both"/>
        <w:rPr>
          <w:sz w:val="28"/>
          <w:szCs w:val="28"/>
        </w:rPr>
      </w:pPr>
    </w:p>
    <w:p w:rsidR="00562471" w:rsidRPr="00ED5E3F" w:rsidRDefault="00477991" w:rsidP="00A57D79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D5E3F">
        <w:rPr>
          <w:sz w:val="28"/>
          <w:szCs w:val="28"/>
        </w:rPr>
        <w:t>Перечень населенных пунктов Вилегодского муниципального округа, расходы по доставке товаров в которые частично компенсируются поставщику за счет средств бюджета Вилегодского муниципального округа, утвержденный решением Собрания депутатов Вилегодского муниципального округа</w:t>
      </w:r>
      <w:r w:rsidR="00A57D79" w:rsidRPr="00ED5E3F">
        <w:rPr>
          <w:sz w:val="28"/>
          <w:szCs w:val="28"/>
        </w:rPr>
        <w:t xml:space="preserve"> Архангельской области </w:t>
      </w:r>
      <w:r w:rsidRPr="00ED5E3F">
        <w:rPr>
          <w:sz w:val="28"/>
          <w:szCs w:val="28"/>
        </w:rPr>
        <w:t>от 08 апреля 2021 года</w:t>
      </w:r>
      <w:r w:rsidR="00A57D79" w:rsidRPr="00ED5E3F">
        <w:rPr>
          <w:sz w:val="28"/>
          <w:szCs w:val="28"/>
        </w:rPr>
        <w:t xml:space="preserve"> № 87 «О создании условий для обеспечения населенных пунктов Вилегодского муниципального округа услугами торговли»</w:t>
      </w:r>
      <w:r w:rsidRPr="00ED5E3F">
        <w:rPr>
          <w:sz w:val="28"/>
          <w:szCs w:val="28"/>
        </w:rPr>
        <w:t xml:space="preserve">, </w:t>
      </w:r>
      <w:r w:rsidR="00562471" w:rsidRPr="00ED5E3F">
        <w:rPr>
          <w:sz w:val="28"/>
          <w:szCs w:val="28"/>
        </w:rPr>
        <w:t>дополнить строками 65, 66, 67</w:t>
      </w:r>
      <w:r w:rsidR="00A57D79" w:rsidRPr="00ED5E3F">
        <w:rPr>
          <w:sz w:val="28"/>
          <w:szCs w:val="28"/>
        </w:rPr>
        <w:t xml:space="preserve"> следующего содержания</w:t>
      </w:r>
      <w:r w:rsidR="00562471" w:rsidRPr="00ED5E3F">
        <w:rPr>
          <w:sz w:val="28"/>
          <w:szCs w:val="28"/>
        </w:rPr>
        <w:t>:</w:t>
      </w:r>
    </w:p>
    <w:tbl>
      <w:tblPr>
        <w:tblW w:w="10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866"/>
        <w:gridCol w:w="1985"/>
        <w:gridCol w:w="1701"/>
        <w:gridCol w:w="2424"/>
        <w:gridCol w:w="1545"/>
      </w:tblGrid>
      <w:tr w:rsidR="00ED5E3F" w:rsidRPr="005C140A" w:rsidTr="00714CF9">
        <w:trPr>
          <w:trHeight w:val="921"/>
          <w:jc w:val="center"/>
        </w:trPr>
        <w:tc>
          <w:tcPr>
            <w:tcW w:w="567" w:type="dxa"/>
            <w:vMerge w:val="restart"/>
            <w:vAlign w:val="center"/>
          </w:tcPr>
          <w:p w:rsidR="00ED5E3F" w:rsidRPr="005C140A" w:rsidRDefault="00ED5E3F" w:rsidP="00A14C79">
            <w:pPr>
              <w:jc w:val="center"/>
              <w:rPr>
                <w:sz w:val="16"/>
                <w:szCs w:val="16"/>
              </w:rPr>
            </w:pPr>
            <w:r w:rsidRPr="005C140A">
              <w:rPr>
                <w:sz w:val="16"/>
                <w:szCs w:val="16"/>
              </w:rPr>
              <w:t>№ п/п</w:t>
            </w:r>
          </w:p>
        </w:tc>
        <w:tc>
          <w:tcPr>
            <w:tcW w:w="1866" w:type="dxa"/>
            <w:vMerge w:val="restart"/>
            <w:vAlign w:val="center"/>
          </w:tcPr>
          <w:p w:rsidR="00ED5E3F" w:rsidRPr="005C140A" w:rsidRDefault="00ED5E3F" w:rsidP="00A14C79">
            <w:pPr>
              <w:jc w:val="center"/>
              <w:rPr>
                <w:sz w:val="16"/>
                <w:szCs w:val="16"/>
              </w:rPr>
            </w:pPr>
            <w:r w:rsidRPr="005C140A">
              <w:rPr>
                <w:sz w:val="16"/>
                <w:szCs w:val="16"/>
              </w:rPr>
              <w:t>Наименование населенного пункта</w:t>
            </w:r>
          </w:p>
        </w:tc>
        <w:tc>
          <w:tcPr>
            <w:tcW w:w="1985" w:type="dxa"/>
            <w:vMerge w:val="restart"/>
            <w:vAlign w:val="center"/>
          </w:tcPr>
          <w:p w:rsidR="00ED5E3F" w:rsidRPr="005C140A" w:rsidRDefault="00ED5E3F" w:rsidP="00A14C79">
            <w:pPr>
              <w:jc w:val="center"/>
              <w:rPr>
                <w:sz w:val="16"/>
                <w:szCs w:val="16"/>
              </w:rPr>
            </w:pPr>
            <w:r w:rsidRPr="005C140A">
              <w:rPr>
                <w:sz w:val="16"/>
                <w:szCs w:val="16"/>
              </w:rPr>
              <w:t>Расстояние по автомобильным дорогам до  административного центра Вилегодского муниципального округа (км)</w:t>
            </w:r>
          </w:p>
        </w:tc>
        <w:tc>
          <w:tcPr>
            <w:tcW w:w="1701" w:type="dxa"/>
            <w:vMerge w:val="restart"/>
            <w:vAlign w:val="center"/>
          </w:tcPr>
          <w:p w:rsidR="00ED5E3F" w:rsidRPr="005C140A" w:rsidRDefault="00ED5E3F" w:rsidP="00A14C79">
            <w:pPr>
              <w:jc w:val="center"/>
              <w:rPr>
                <w:sz w:val="16"/>
                <w:szCs w:val="16"/>
              </w:rPr>
            </w:pPr>
            <w:r w:rsidRPr="005C140A">
              <w:rPr>
                <w:sz w:val="16"/>
                <w:szCs w:val="16"/>
              </w:rPr>
              <w:t>Численность жителей населенного пункта на 01.07.2020 (человек)</w:t>
            </w:r>
          </w:p>
        </w:tc>
        <w:tc>
          <w:tcPr>
            <w:tcW w:w="3969" w:type="dxa"/>
            <w:gridSpan w:val="2"/>
            <w:vAlign w:val="center"/>
          </w:tcPr>
          <w:p w:rsidR="00ED5E3F" w:rsidRPr="005C140A" w:rsidRDefault="00ED5E3F" w:rsidP="00A14C79">
            <w:pPr>
              <w:jc w:val="center"/>
              <w:rPr>
                <w:sz w:val="16"/>
                <w:szCs w:val="16"/>
              </w:rPr>
            </w:pPr>
            <w:r w:rsidRPr="005C140A">
              <w:rPr>
                <w:sz w:val="16"/>
                <w:szCs w:val="16"/>
              </w:rPr>
              <w:t>Минимальная периодичность доставки товаров</w:t>
            </w:r>
            <w:r w:rsidRPr="005C140A">
              <w:rPr>
                <w:sz w:val="16"/>
                <w:szCs w:val="16"/>
                <w:vertAlign w:val="superscript"/>
              </w:rPr>
              <w:t>1</w:t>
            </w:r>
            <w:r w:rsidRPr="005C140A">
              <w:rPr>
                <w:sz w:val="16"/>
                <w:szCs w:val="16"/>
              </w:rPr>
              <w:t xml:space="preserve"> – промежуток времени между поставками в населенный пункт ассортиментного перечня товаров</w:t>
            </w:r>
          </w:p>
        </w:tc>
      </w:tr>
      <w:tr w:rsidR="00ED5E3F" w:rsidRPr="005C140A" w:rsidTr="00714CF9">
        <w:trPr>
          <w:trHeight w:val="920"/>
          <w:jc w:val="center"/>
        </w:trPr>
        <w:tc>
          <w:tcPr>
            <w:tcW w:w="567" w:type="dxa"/>
            <w:vMerge/>
            <w:vAlign w:val="center"/>
          </w:tcPr>
          <w:p w:rsidR="00ED5E3F" w:rsidRPr="005C140A" w:rsidRDefault="00ED5E3F" w:rsidP="00A14C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6" w:type="dxa"/>
            <w:vMerge/>
            <w:vAlign w:val="center"/>
          </w:tcPr>
          <w:p w:rsidR="00ED5E3F" w:rsidRPr="005C140A" w:rsidRDefault="00ED5E3F" w:rsidP="00A14C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ED5E3F" w:rsidRPr="005C140A" w:rsidRDefault="00ED5E3F" w:rsidP="00A14C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D5E3F" w:rsidRPr="005C140A" w:rsidRDefault="00ED5E3F" w:rsidP="00A14C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4" w:type="dxa"/>
            <w:vAlign w:val="center"/>
          </w:tcPr>
          <w:p w:rsidR="00ED5E3F" w:rsidRPr="005C140A" w:rsidRDefault="00ED5E3F" w:rsidP="00A14C79">
            <w:pPr>
              <w:jc w:val="center"/>
              <w:rPr>
                <w:sz w:val="16"/>
                <w:szCs w:val="16"/>
              </w:rPr>
            </w:pPr>
            <w:r w:rsidRPr="005C140A">
              <w:rPr>
                <w:sz w:val="16"/>
                <w:szCs w:val="16"/>
              </w:rPr>
              <w:t>с 01 мая по 30 сентября</w:t>
            </w:r>
          </w:p>
          <w:p w:rsidR="00ED5E3F" w:rsidRPr="005C140A" w:rsidRDefault="00ED5E3F" w:rsidP="00A14C79">
            <w:pPr>
              <w:jc w:val="center"/>
              <w:rPr>
                <w:sz w:val="16"/>
                <w:szCs w:val="16"/>
              </w:rPr>
            </w:pPr>
            <w:r w:rsidRPr="005C140A">
              <w:rPr>
                <w:sz w:val="16"/>
                <w:szCs w:val="16"/>
              </w:rPr>
              <w:t xml:space="preserve">(летний период) </w:t>
            </w:r>
          </w:p>
        </w:tc>
        <w:tc>
          <w:tcPr>
            <w:tcW w:w="1545" w:type="dxa"/>
            <w:vAlign w:val="center"/>
          </w:tcPr>
          <w:p w:rsidR="00ED5E3F" w:rsidRPr="005C140A" w:rsidRDefault="00ED5E3F" w:rsidP="00A14C79">
            <w:pPr>
              <w:jc w:val="center"/>
              <w:rPr>
                <w:sz w:val="16"/>
                <w:szCs w:val="16"/>
              </w:rPr>
            </w:pPr>
            <w:r w:rsidRPr="005C140A">
              <w:rPr>
                <w:sz w:val="16"/>
                <w:szCs w:val="16"/>
              </w:rPr>
              <w:t>с 01 октября по 30 апреля</w:t>
            </w:r>
          </w:p>
          <w:p w:rsidR="00ED5E3F" w:rsidRPr="005C140A" w:rsidRDefault="00ED5E3F" w:rsidP="00A14C79">
            <w:pPr>
              <w:jc w:val="center"/>
              <w:rPr>
                <w:sz w:val="16"/>
                <w:szCs w:val="16"/>
              </w:rPr>
            </w:pPr>
            <w:r w:rsidRPr="005C140A">
              <w:rPr>
                <w:sz w:val="16"/>
                <w:szCs w:val="16"/>
              </w:rPr>
              <w:t>(зимний период)</w:t>
            </w:r>
          </w:p>
        </w:tc>
      </w:tr>
      <w:tr w:rsidR="00ED5E3F" w:rsidRPr="005C140A" w:rsidTr="00714CF9">
        <w:trPr>
          <w:jc w:val="center"/>
        </w:trPr>
        <w:tc>
          <w:tcPr>
            <w:tcW w:w="567" w:type="dxa"/>
            <w:shd w:val="clear" w:color="auto" w:fill="auto"/>
          </w:tcPr>
          <w:p w:rsidR="00ED5E3F" w:rsidRPr="004525AE" w:rsidRDefault="00ED5E3F" w:rsidP="00ED5E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866" w:type="dxa"/>
            <w:shd w:val="clear" w:color="auto" w:fill="auto"/>
          </w:tcPr>
          <w:p w:rsidR="00ED5E3F" w:rsidRPr="004525AE" w:rsidRDefault="00ED5E3F" w:rsidP="00ED5E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дер. Островская</w:t>
            </w:r>
          </w:p>
        </w:tc>
        <w:tc>
          <w:tcPr>
            <w:tcW w:w="1985" w:type="dxa"/>
            <w:shd w:val="clear" w:color="auto" w:fill="auto"/>
          </w:tcPr>
          <w:p w:rsidR="00ED5E3F" w:rsidRPr="004525AE" w:rsidRDefault="00ED5E3F" w:rsidP="00ED5E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ED5E3F" w:rsidRPr="004525AE" w:rsidRDefault="00ED5E3F" w:rsidP="00ED5E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 14 (в летний период)</w:t>
            </w:r>
          </w:p>
        </w:tc>
        <w:tc>
          <w:tcPr>
            <w:tcW w:w="2424" w:type="dxa"/>
            <w:shd w:val="clear" w:color="auto" w:fill="auto"/>
          </w:tcPr>
          <w:p w:rsidR="00ED5E3F" w:rsidRPr="004525AE" w:rsidRDefault="00ED5E3F" w:rsidP="00ED5E3F">
            <w:pPr>
              <w:jc w:val="center"/>
              <w:rPr>
                <w:sz w:val="16"/>
                <w:szCs w:val="16"/>
              </w:rPr>
            </w:pPr>
            <w:r w:rsidRPr="004525AE">
              <w:rPr>
                <w:sz w:val="16"/>
                <w:szCs w:val="16"/>
              </w:rPr>
              <w:t>не более 3 (трех) дней</w:t>
            </w:r>
          </w:p>
        </w:tc>
        <w:tc>
          <w:tcPr>
            <w:tcW w:w="1545" w:type="dxa"/>
            <w:shd w:val="clear" w:color="auto" w:fill="auto"/>
          </w:tcPr>
          <w:p w:rsidR="00ED5E3F" w:rsidRPr="004525AE" w:rsidRDefault="00ED5E3F" w:rsidP="00ED5E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D5E3F" w:rsidRPr="005C140A" w:rsidTr="00714CF9">
        <w:trPr>
          <w:jc w:val="center"/>
        </w:trPr>
        <w:tc>
          <w:tcPr>
            <w:tcW w:w="567" w:type="dxa"/>
            <w:shd w:val="clear" w:color="auto" w:fill="auto"/>
          </w:tcPr>
          <w:p w:rsidR="00ED5E3F" w:rsidRPr="004525AE" w:rsidRDefault="00ED5E3F" w:rsidP="00ED5E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1866" w:type="dxa"/>
            <w:shd w:val="clear" w:color="auto" w:fill="auto"/>
          </w:tcPr>
          <w:p w:rsidR="00ED5E3F" w:rsidRPr="004525AE" w:rsidRDefault="00ED5E3F" w:rsidP="00ED5E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дер. Залесье</w:t>
            </w:r>
          </w:p>
        </w:tc>
        <w:tc>
          <w:tcPr>
            <w:tcW w:w="1985" w:type="dxa"/>
            <w:shd w:val="clear" w:color="auto" w:fill="auto"/>
          </w:tcPr>
          <w:p w:rsidR="00ED5E3F" w:rsidRPr="004525AE" w:rsidRDefault="00ED5E3F" w:rsidP="00ED5E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ED5E3F" w:rsidRPr="004525AE" w:rsidRDefault="00ED5E3F" w:rsidP="00ED5E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2424" w:type="dxa"/>
            <w:shd w:val="clear" w:color="auto" w:fill="auto"/>
          </w:tcPr>
          <w:p w:rsidR="00ED5E3F" w:rsidRPr="004525AE" w:rsidRDefault="00ED5E3F" w:rsidP="00ED5E3F">
            <w:pPr>
              <w:jc w:val="center"/>
              <w:rPr>
                <w:sz w:val="16"/>
                <w:szCs w:val="16"/>
              </w:rPr>
            </w:pPr>
            <w:r w:rsidRPr="004525AE">
              <w:rPr>
                <w:sz w:val="16"/>
                <w:szCs w:val="16"/>
              </w:rPr>
              <w:t>не более 3 (трех) дней</w:t>
            </w:r>
          </w:p>
        </w:tc>
        <w:tc>
          <w:tcPr>
            <w:tcW w:w="1545" w:type="dxa"/>
            <w:shd w:val="clear" w:color="auto" w:fill="auto"/>
          </w:tcPr>
          <w:p w:rsidR="00ED5E3F" w:rsidRPr="004525AE" w:rsidRDefault="00ED5E3F" w:rsidP="00ED5E3F">
            <w:pPr>
              <w:jc w:val="center"/>
              <w:rPr>
                <w:sz w:val="16"/>
                <w:szCs w:val="16"/>
              </w:rPr>
            </w:pPr>
            <w:r w:rsidRPr="004525AE">
              <w:rPr>
                <w:sz w:val="16"/>
                <w:szCs w:val="16"/>
              </w:rPr>
              <w:t>не более 6 (шести) дней</w:t>
            </w:r>
          </w:p>
        </w:tc>
      </w:tr>
      <w:tr w:rsidR="00ED5E3F" w:rsidRPr="005C140A" w:rsidTr="00714CF9">
        <w:trPr>
          <w:jc w:val="center"/>
        </w:trPr>
        <w:tc>
          <w:tcPr>
            <w:tcW w:w="567" w:type="dxa"/>
          </w:tcPr>
          <w:p w:rsidR="00ED5E3F" w:rsidRPr="004525AE" w:rsidRDefault="00ED5E3F" w:rsidP="00ED5E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1866" w:type="dxa"/>
          </w:tcPr>
          <w:p w:rsidR="00ED5E3F" w:rsidRPr="004525AE" w:rsidRDefault="00ED5E3F" w:rsidP="00ED5E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дер. Заозерье</w:t>
            </w:r>
          </w:p>
        </w:tc>
        <w:tc>
          <w:tcPr>
            <w:tcW w:w="1985" w:type="dxa"/>
          </w:tcPr>
          <w:p w:rsidR="00ED5E3F" w:rsidRPr="004525AE" w:rsidRDefault="00ED5E3F" w:rsidP="00ED5E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701" w:type="dxa"/>
          </w:tcPr>
          <w:p w:rsidR="00ED5E3F" w:rsidRPr="004525AE" w:rsidRDefault="00ED5E3F" w:rsidP="00ED5E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2424" w:type="dxa"/>
          </w:tcPr>
          <w:p w:rsidR="00ED5E3F" w:rsidRPr="004525AE" w:rsidRDefault="00ED5E3F" w:rsidP="00ED5E3F">
            <w:pPr>
              <w:jc w:val="center"/>
              <w:rPr>
                <w:sz w:val="16"/>
                <w:szCs w:val="16"/>
              </w:rPr>
            </w:pPr>
            <w:r w:rsidRPr="004525AE">
              <w:rPr>
                <w:sz w:val="16"/>
                <w:szCs w:val="16"/>
              </w:rPr>
              <w:t>не более 3 (трех) дней</w:t>
            </w:r>
          </w:p>
        </w:tc>
        <w:tc>
          <w:tcPr>
            <w:tcW w:w="1545" w:type="dxa"/>
          </w:tcPr>
          <w:p w:rsidR="00ED5E3F" w:rsidRPr="004525AE" w:rsidRDefault="00ED5E3F" w:rsidP="00ED5E3F">
            <w:pPr>
              <w:jc w:val="center"/>
              <w:rPr>
                <w:sz w:val="16"/>
                <w:szCs w:val="16"/>
              </w:rPr>
            </w:pPr>
            <w:r w:rsidRPr="004525AE">
              <w:rPr>
                <w:sz w:val="16"/>
                <w:szCs w:val="16"/>
              </w:rPr>
              <w:t>не более 6 (шести) дней</w:t>
            </w:r>
          </w:p>
        </w:tc>
      </w:tr>
    </w:tbl>
    <w:p w:rsidR="00A57D79" w:rsidRDefault="00A57D79" w:rsidP="00A57D79">
      <w:pPr>
        <w:tabs>
          <w:tab w:val="left" w:pos="993"/>
        </w:tabs>
        <w:jc w:val="both"/>
        <w:rPr>
          <w:sz w:val="26"/>
          <w:szCs w:val="26"/>
        </w:rPr>
      </w:pPr>
    </w:p>
    <w:p w:rsidR="00477991" w:rsidRPr="00ED5E3F" w:rsidRDefault="00477991" w:rsidP="00A57D79">
      <w:pPr>
        <w:pStyle w:val="a3"/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D5E3F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F55D52">
        <w:rPr>
          <w:sz w:val="28"/>
          <w:szCs w:val="28"/>
        </w:rPr>
        <w:t>округа</w:t>
      </w:r>
      <w:r w:rsidRPr="00ED5E3F">
        <w:rPr>
          <w:sz w:val="28"/>
          <w:szCs w:val="28"/>
        </w:rPr>
        <w:t xml:space="preserve">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Собрания депутатов Вилегодского муниципального округа.</w:t>
      </w:r>
    </w:p>
    <w:p w:rsidR="00477991" w:rsidRPr="00ED5E3F" w:rsidRDefault="00477991" w:rsidP="00A57D79">
      <w:pPr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D5E3F">
        <w:rPr>
          <w:sz w:val="28"/>
          <w:szCs w:val="28"/>
        </w:rPr>
        <w:t>Настоящее решение вступает в силу</w:t>
      </w:r>
      <w:r w:rsidR="00714CF9">
        <w:rPr>
          <w:sz w:val="28"/>
          <w:szCs w:val="28"/>
        </w:rPr>
        <w:t xml:space="preserve"> с</w:t>
      </w:r>
      <w:r w:rsidRPr="00ED5E3F">
        <w:rPr>
          <w:sz w:val="28"/>
          <w:szCs w:val="28"/>
        </w:rPr>
        <w:t xml:space="preserve"> </w:t>
      </w:r>
      <w:r w:rsidR="00751B44">
        <w:rPr>
          <w:sz w:val="28"/>
          <w:szCs w:val="28"/>
        </w:rPr>
        <w:t>01 января 2022 года</w:t>
      </w:r>
      <w:r w:rsidRPr="00ED5E3F">
        <w:rPr>
          <w:sz w:val="28"/>
          <w:szCs w:val="28"/>
        </w:rPr>
        <w:t xml:space="preserve">. </w:t>
      </w:r>
    </w:p>
    <w:p w:rsidR="00477991" w:rsidRPr="00477991" w:rsidRDefault="00477991" w:rsidP="00477991">
      <w:pPr>
        <w:jc w:val="both"/>
        <w:rPr>
          <w:sz w:val="26"/>
          <w:szCs w:val="26"/>
        </w:rPr>
      </w:pPr>
    </w:p>
    <w:p w:rsidR="00477991" w:rsidRPr="00477991" w:rsidRDefault="00477991" w:rsidP="00477991">
      <w:pPr>
        <w:jc w:val="both"/>
        <w:rPr>
          <w:sz w:val="26"/>
          <w:szCs w:val="26"/>
        </w:rPr>
      </w:pPr>
    </w:p>
    <w:p w:rsidR="00477991" w:rsidRPr="00ED5E3F" w:rsidRDefault="00477991" w:rsidP="0047799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D5E3F">
        <w:rPr>
          <w:sz w:val="28"/>
          <w:szCs w:val="28"/>
        </w:rPr>
        <w:t>Председатель Собрания депутатов</w:t>
      </w:r>
    </w:p>
    <w:p w:rsidR="00477991" w:rsidRPr="00ED5E3F" w:rsidRDefault="00477991" w:rsidP="00477991">
      <w:pPr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D5E3F">
        <w:rPr>
          <w:sz w:val="28"/>
          <w:szCs w:val="28"/>
        </w:rPr>
        <w:t>Вилегодского муниципального округа</w:t>
      </w:r>
      <w:r w:rsidRPr="00ED5E3F">
        <w:rPr>
          <w:sz w:val="28"/>
          <w:szCs w:val="28"/>
        </w:rPr>
        <w:tab/>
        <w:t>С.А. Устюженко</w:t>
      </w:r>
    </w:p>
    <w:p w:rsidR="00477991" w:rsidRDefault="00477991" w:rsidP="00477991">
      <w:pPr>
        <w:tabs>
          <w:tab w:val="right" w:pos="992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CF9" w:rsidRPr="00ED5E3F" w:rsidRDefault="00714CF9" w:rsidP="00477991">
      <w:pPr>
        <w:tabs>
          <w:tab w:val="right" w:pos="992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5E3F" w:rsidRDefault="00477991" w:rsidP="00477991">
      <w:pPr>
        <w:tabs>
          <w:tab w:val="right" w:pos="935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ED5E3F">
        <w:rPr>
          <w:sz w:val="28"/>
          <w:szCs w:val="28"/>
        </w:rPr>
        <w:t>Глава Вилегодского муниципального округа</w:t>
      </w:r>
      <w:r w:rsidRPr="00ED5E3F">
        <w:rPr>
          <w:sz w:val="28"/>
          <w:szCs w:val="28"/>
        </w:rPr>
        <w:tab/>
        <w:t>А.Ю. Аксенов</w:t>
      </w:r>
      <w:bookmarkStart w:id="1" w:name="_GoBack"/>
      <w:bookmarkEnd w:id="1"/>
    </w:p>
    <w:p w:rsidR="00ED5E3F" w:rsidRDefault="00ED5E3F" w:rsidP="00477991">
      <w:pPr>
        <w:tabs>
          <w:tab w:val="right" w:pos="9355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5E3F" w:rsidRDefault="00ED5E3F" w:rsidP="00477991">
      <w:pPr>
        <w:tabs>
          <w:tab w:val="right" w:pos="9355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5E3F" w:rsidRDefault="00ED5E3F" w:rsidP="00477991">
      <w:pPr>
        <w:tabs>
          <w:tab w:val="right" w:pos="9355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5E3F" w:rsidRDefault="00ED5E3F" w:rsidP="00477991">
      <w:pPr>
        <w:tabs>
          <w:tab w:val="right" w:pos="9355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5E3F" w:rsidRDefault="00ED5E3F" w:rsidP="00477991">
      <w:pPr>
        <w:tabs>
          <w:tab w:val="right" w:pos="9355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5E3F" w:rsidRDefault="00ED5E3F" w:rsidP="00477991">
      <w:pPr>
        <w:tabs>
          <w:tab w:val="right" w:pos="9355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5E3F" w:rsidRDefault="00ED5E3F" w:rsidP="00477991">
      <w:pPr>
        <w:tabs>
          <w:tab w:val="right" w:pos="9355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5E3F" w:rsidRDefault="00ED5E3F" w:rsidP="00477991">
      <w:pPr>
        <w:tabs>
          <w:tab w:val="right" w:pos="9355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5E3F" w:rsidRDefault="00ED5E3F" w:rsidP="00477991">
      <w:pPr>
        <w:tabs>
          <w:tab w:val="right" w:pos="9355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5E3F" w:rsidRDefault="00ED5E3F" w:rsidP="00477991">
      <w:pPr>
        <w:tabs>
          <w:tab w:val="right" w:pos="9355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5E3F" w:rsidRDefault="00ED5E3F" w:rsidP="00477991">
      <w:pPr>
        <w:tabs>
          <w:tab w:val="right" w:pos="9355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5E3F" w:rsidRDefault="00ED5E3F" w:rsidP="00477991">
      <w:pPr>
        <w:tabs>
          <w:tab w:val="right" w:pos="9355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5E3F" w:rsidRDefault="00ED5E3F" w:rsidP="00477991">
      <w:pPr>
        <w:tabs>
          <w:tab w:val="right" w:pos="9355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5E3F" w:rsidRDefault="00ED5E3F" w:rsidP="00477991">
      <w:pPr>
        <w:tabs>
          <w:tab w:val="right" w:pos="9355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5E3F" w:rsidRDefault="00ED5E3F" w:rsidP="00477991">
      <w:pPr>
        <w:tabs>
          <w:tab w:val="right" w:pos="9355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5E3F" w:rsidRDefault="00ED5E3F" w:rsidP="00477991">
      <w:pPr>
        <w:tabs>
          <w:tab w:val="right" w:pos="9355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5E06DC" w:rsidRDefault="005E06DC" w:rsidP="00562471">
      <w:pPr>
        <w:pStyle w:val="a4"/>
        <w:jc w:val="center"/>
        <w:rPr>
          <w:b/>
          <w:sz w:val="26"/>
          <w:szCs w:val="26"/>
        </w:rPr>
      </w:pPr>
    </w:p>
    <w:sectPr w:rsidR="005E06DC" w:rsidSect="00714CF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A4E8E"/>
    <w:multiLevelType w:val="hybridMultilevel"/>
    <w:tmpl w:val="059EC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605D2255"/>
    <w:multiLevelType w:val="hybridMultilevel"/>
    <w:tmpl w:val="36CA67B8"/>
    <w:lvl w:ilvl="0" w:tplc="F42CC8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A465D34"/>
    <w:multiLevelType w:val="hybridMultilevel"/>
    <w:tmpl w:val="C21AF600"/>
    <w:lvl w:ilvl="0" w:tplc="5C8CF7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991"/>
    <w:rsid w:val="00163148"/>
    <w:rsid w:val="001960B6"/>
    <w:rsid w:val="001B20D3"/>
    <w:rsid w:val="001C35F4"/>
    <w:rsid w:val="00201F3B"/>
    <w:rsid w:val="00286C5E"/>
    <w:rsid w:val="002F0E41"/>
    <w:rsid w:val="00376F87"/>
    <w:rsid w:val="0038060A"/>
    <w:rsid w:val="003F663D"/>
    <w:rsid w:val="00416427"/>
    <w:rsid w:val="00477991"/>
    <w:rsid w:val="004D4CC5"/>
    <w:rsid w:val="004D6E03"/>
    <w:rsid w:val="00525BCF"/>
    <w:rsid w:val="00542FC2"/>
    <w:rsid w:val="00556BD5"/>
    <w:rsid w:val="00562471"/>
    <w:rsid w:val="005E0249"/>
    <w:rsid w:val="005E06DC"/>
    <w:rsid w:val="00633ADC"/>
    <w:rsid w:val="00670224"/>
    <w:rsid w:val="006C50B2"/>
    <w:rsid w:val="00712528"/>
    <w:rsid w:val="00714CF9"/>
    <w:rsid w:val="007211DC"/>
    <w:rsid w:val="00725CBB"/>
    <w:rsid w:val="007402BB"/>
    <w:rsid w:val="00751B44"/>
    <w:rsid w:val="00851272"/>
    <w:rsid w:val="008A545D"/>
    <w:rsid w:val="00977771"/>
    <w:rsid w:val="00A32A79"/>
    <w:rsid w:val="00A57D79"/>
    <w:rsid w:val="00AA34EE"/>
    <w:rsid w:val="00AE584D"/>
    <w:rsid w:val="00AF3869"/>
    <w:rsid w:val="00B96659"/>
    <w:rsid w:val="00C45807"/>
    <w:rsid w:val="00DB357D"/>
    <w:rsid w:val="00E768BE"/>
    <w:rsid w:val="00EB2263"/>
    <w:rsid w:val="00ED5E3F"/>
    <w:rsid w:val="00F55D52"/>
    <w:rsid w:val="00F7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E3770"/>
  <w15:docId w15:val="{EF3D5A2A-DB57-451D-B2F3-654120E6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99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77991"/>
    <w:pPr>
      <w:ind w:left="720"/>
      <w:contextualSpacing/>
    </w:pPr>
  </w:style>
  <w:style w:type="paragraph" w:styleId="a4">
    <w:name w:val="No Spacing"/>
    <w:uiPriority w:val="1"/>
    <w:qFormat/>
    <w:rsid w:val="0056247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table" w:styleId="a5">
    <w:name w:val="Table Grid"/>
    <w:basedOn w:val="a1"/>
    <w:rsid w:val="005624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33AD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33AD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6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2021-12-13T10:58:00Z</cp:lastPrinted>
  <dcterms:created xsi:type="dcterms:W3CDTF">2021-12-27T10:33:00Z</dcterms:created>
  <dcterms:modified xsi:type="dcterms:W3CDTF">2021-12-27T10:33:00Z</dcterms:modified>
</cp:coreProperties>
</file>